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D6C0E" w14:textId="68556026" w:rsidR="002837E1" w:rsidRPr="00415743" w:rsidRDefault="002837E1" w:rsidP="002837E1">
      <w:pPr>
        <w:bidi/>
        <w:rPr>
          <w:rFonts w:asciiTheme="minorBidi" w:hAnsiTheme="minorBidi"/>
        </w:rPr>
      </w:pPr>
      <w:r w:rsidRPr="00415743">
        <w:rPr>
          <w:rFonts w:asciiTheme="minorBidi" w:hAnsiTheme="minorBidi" w:cs="Arial"/>
          <w:rtl/>
        </w:rPr>
        <w:t>بيان صحفي رقم 52/2024</w:t>
      </w:r>
    </w:p>
    <w:p w14:paraId="60771A8B" w14:textId="77777777" w:rsidR="002837E1" w:rsidRPr="000A4947" w:rsidRDefault="002837E1" w:rsidP="002837E1">
      <w:pPr>
        <w:bidi/>
        <w:rPr>
          <w:rFonts w:asciiTheme="minorBidi" w:hAnsiTheme="minorBidi"/>
          <w:b/>
          <w:bCs/>
        </w:rPr>
      </w:pPr>
    </w:p>
    <w:p w14:paraId="0A0FDBB3" w14:textId="30D3EB95" w:rsidR="002837E1" w:rsidRPr="000A4947" w:rsidRDefault="002837E1" w:rsidP="000A4947">
      <w:pPr>
        <w:bidi/>
        <w:rPr>
          <w:rFonts w:asciiTheme="minorBidi" w:hAnsiTheme="minorBidi"/>
          <w:b/>
          <w:bCs/>
        </w:rPr>
      </w:pPr>
      <w:r w:rsidRPr="000A4947">
        <w:rPr>
          <w:rFonts w:asciiTheme="minorBidi" w:hAnsiTheme="minorBidi" w:cs="Arial"/>
          <w:b/>
          <w:bCs/>
          <w:rtl/>
        </w:rPr>
        <w:t xml:space="preserve">أرصدة الكربون، </w:t>
      </w:r>
      <w:r w:rsidR="00696DA4" w:rsidRPr="00696DA4">
        <w:rPr>
          <w:rFonts w:asciiTheme="minorBidi" w:hAnsiTheme="minorBidi" w:cs="Arial"/>
          <w:b/>
          <w:bCs/>
          <w:rtl/>
        </w:rPr>
        <w:t>فرصة لجميع القطاعات</w:t>
      </w:r>
    </w:p>
    <w:p w14:paraId="71DF0CF5" w14:textId="45613C10" w:rsidR="003932CA" w:rsidRPr="00415743" w:rsidRDefault="002837E1" w:rsidP="002837E1">
      <w:pPr>
        <w:bidi/>
        <w:rPr>
          <w:rFonts w:asciiTheme="minorBidi" w:hAnsiTheme="minorBidi" w:cs="Arial"/>
          <w:b/>
          <w:bCs/>
          <w:i/>
          <w:iCs/>
          <w:rtl/>
        </w:rPr>
      </w:pPr>
      <w:r w:rsidRPr="00415743">
        <w:rPr>
          <w:rFonts w:asciiTheme="minorBidi" w:hAnsiTheme="minorBidi" w:cs="Arial"/>
          <w:b/>
          <w:bCs/>
          <w:i/>
          <w:iCs/>
          <w:rtl/>
        </w:rPr>
        <w:t xml:space="preserve">في اليوم الثاني من معرض </w:t>
      </w:r>
      <w:r w:rsidRPr="00415743">
        <w:rPr>
          <w:rFonts w:asciiTheme="minorBidi" w:hAnsiTheme="minorBidi"/>
          <w:b/>
          <w:bCs/>
          <w:i/>
          <w:iCs/>
        </w:rPr>
        <w:t>EIMA</w:t>
      </w:r>
      <w:r w:rsidRPr="00415743">
        <w:rPr>
          <w:rFonts w:asciiTheme="minorBidi" w:hAnsiTheme="minorBidi" w:cs="Arial"/>
          <w:b/>
          <w:bCs/>
          <w:i/>
          <w:iCs/>
          <w:rtl/>
        </w:rPr>
        <w:t xml:space="preserve"> الدولي، المعرض العالمي للآلات الزراعية المنعقد في بولونيا، قام مؤتمر روجت له </w:t>
      </w:r>
      <w:proofErr w:type="spellStart"/>
      <w:r w:rsidRPr="00415743">
        <w:rPr>
          <w:rFonts w:asciiTheme="minorBidi" w:hAnsiTheme="minorBidi"/>
          <w:b/>
          <w:bCs/>
          <w:i/>
          <w:iCs/>
        </w:rPr>
        <w:t>Edagricole</w:t>
      </w:r>
      <w:proofErr w:type="spellEnd"/>
      <w:r w:rsidRPr="00415743">
        <w:rPr>
          <w:rFonts w:asciiTheme="minorBidi" w:hAnsiTheme="minorBidi" w:cs="Arial"/>
          <w:b/>
          <w:bCs/>
          <w:i/>
          <w:iCs/>
          <w:rtl/>
        </w:rPr>
        <w:t xml:space="preserve"> بتقييم تنظيم وآفاق أرصدة الكربون. بالنسبة للمزارعين، ي</w:t>
      </w:r>
      <w:r w:rsidR="00495142" w:rsidRPr="00415743">
        <w:rPr>
          <w:rFonts w:asciiTheme="minorBidi" w:hAnsiTheme="minorBidi" w:cs="Arial" w:hint="cs"/>
          <w:b/>
          <w:bCs/>
          <w:i/>
          <w:iCs/>
          <w:rtl/>
        </w:rPr>
        <w:t>عد</w:t>
      </w:r>
      <w:r w:rsidRPr="00415743">
        <w:rPr>
          <w:rFonts w:asciiTheme="minorBidi" w:hAnsiTheme="minorBidi" w:cs="Arial"/>
          <w:b/>
          <w:bCs/>
          <w:i/>
          <w:iCs/>
          <w:rtl/>
        </w:rPr>
        <w:t xml:space="preserve"> هذا شكلاً جديدًا من أشكال الدخل له فوائد زراعية وبيئية مشتركة</w:t>
      </w:r>
    </w:p>
    <w:p w14:paraId="33212C26" w14:textId="56D708D7" w:rsidR="000A4947" w:rsidRDefault="000A4947" w:rsidP="000A4947">
      <w:pPr>
        <w:bidi/>
        <w:rPr>
          <w:rFonts w:asciiTheme="minorBidi" w:hAnsiTheme="minorBidi" w:cs="Arial"/>
          <w:rtl/>
        </w:rPr>
      </w:pPr>
      <w:r w:rsidRPr="000A4947">
        <w:rPr>
          <w:rFonts w:asciiTheme="minorBidi" w:hAnsiTheme="minorBidi" w:cs="Arial"/>
          <w:rtl/>
        </w:rPr>
        <w:t xml:space="preserve">لتجنب الاحترار العالمي الكارثي، تعد استراتيجيات احتجاز الكربون الجوي وتخزينه ضرورية ومكملة للحد من انبعاثات غازات الدفيئة الأحفورية والبيولوجية. هذا هو الموضوع الذي تطرق إليه </w:t>
      </w:r>
      <w:r w:rsidR="00696DA4" w:rsidRPr="00696DA4">
        <w:rPr>
          <w:rFonts w:asciiTheme="minorBidi" w:hAnsiTheme="minorBidi" w:cs="Arial"/>
        </w:rPr>
        <w:t xml:space="preserve">Michele </w:t>
      </w:r>
      <w:proofErr w:type="spellStart"/>
      <w:r w:rsidR="00696DA4" w:rsidRPr="00696DA4">
        <w:rPr>
          <w:rFonts w:asciiTheme="minorBidi" w:hAnsiTheme="minorBidi" w:cs="Arial"/>
        </w:rPr>
        <w:t>Pisante</w:t>
      </w:r>
      <w:proofErr w:type="spellEnd"/>
      <w:r w:rsidR="00696DA4">
        <w:rPr>
          <w:rFonts w:asciiTheme="minorBidi" w:hAnsiTheme="minorBidi" w:cs="Arial" w:hint="cs"/>
          <w:rtl/>
        </w:rPr>
        <w:t xml:space="preserve"> </w:t>
      </w:r>
      <w:r w:rsidRPr="000A4947">
        <w:rPr>
          <w:rFonts w:asciiTheme="minorBidi" w:hAnsiTheme="minorBidi" w:cs="Arial"/>
          <w:rtl/>
        </w:rPr>
        <w:t xml:space="preserve">من جامعة </w:t>
      </w:r>
      <w:r w:rsidR="00696DA4" w:rsidRPr="00696DA4">
        <w:rPr>
          <w:rFonts w:asciiTheme="minorBidi" w:hAnsiTheme="minorBidi" w:cs="Arial"/>
        </w:rPr>
        <w:t>Teramo</w:t>
      </w:r>
      <w:r w:rsidRPr="000A4947">
        <w:rPr>
          <w:rFonts w:asciiTheme="minorBidi" w:hAnsiTheme="minorBidi" w:cs="Arial"/>
          <w:rtl/>
        </w:rPr>
        <w:t xml:space="preserve">، خلال </w:t>
      </w:r>
      <w:r w:rsidR="00696DA4">
        <w:rPr>
          <w:rFonts w:asciiTheme="minorBidi" w:hAnsiTheme="minorBidi" w:cs="Arial" w:hint="cs"/>
          <w:rtl/>
        </w:rPr>
        <w:t>اللقاء</w:t>
      </w:r>
      <w:r w:rsidRPr="000A4947">
        <w:rPr>
          <w:rFonts w:asciiTheme="minorBidi" w:hAnsiTheme="minorBidi" w:cs="Arial"/>
          <w:rtl/>
        </w:rPr>
        <w:t xml:space="preserve"> المعنون "أرصدة الكربون، فرصة لجميع القطاعات" الذي نظمته </w:t>
      </w:r>
      <w:proofErr w:type="spellStart"/>
      <w:r w:rsidRPr="000A4947">
        <w:rPr>
          <w:rFonts w:asciiTheme="minorBidi" w:hAnsiTheme="minorBidi"/>
        </w:rPr>
        <w:t>Edagricole</w:t>
      </w:r>
      <w:proofErr w:type="spellEnd"/>
      <w:r w:rsidRPr="000A4947">
        <w:rPr>
          <w:rFonts w:asciiTheme="minorBidi" w:hAnsiTheme="minorBidi" w:cs="Arial"/>
          <w:rtl/>
        </w:rPr>
        <w:t xml:space="preserve"> لتحديد سيناريو القطاع الذي لم يجد بعد معايير مرجعية دقيقة. </w:t>
      </w:r>
      <w:r w:rsidR="00696DA4" w:rsidRPr="00696DA4">
        <w:rPr>
          <w:rFonts w:asciiTheme="minorBidi" w:hAnsiTheme="minorBidi" w:cs="Arial"/>
          <w:rtl/>
        </w:rPr>
        <w:t>"إن الرصد المتسق والدقيق للتغيرات في مخزونات الكربون العضوي في التربة وصافي انبعاثات غازات الدفيئة، والمراجعة والتحقق هي أمور أساسية لتسهيل الاستثمارات في ممارسات استخدام الأراضي المستدامة التي تحافظ على مخزونات الكربون العضوية في التربة نفسها أو تزيدها".</w:t>
      </w:r>
      <w:r w:rsidR="00696DA4">
        <w:rPr>
          <w:rFonts w:asciiTheme="minorBidi" w:hAnsiTheme="minorBidi" w:cs="Arial" w:hint="cs"/>
          <w:rtl/>
        </w:rPr>
        <w:t xml:space="preserve"> و</w:t>
      </w:r>
      <w:r w:rsidR="00696DA4" w:rsidRPr="000A4947">
        <w:rPr>
          <w:rFonts w:asciiTheme="minorBidi" w:hAnsiTheme="minorBidi" w:cs="Arial"/>
          <w:rtl/>
        </w:rPr>
        <w:t xml:space="preserve">يتابع </w:t>
      </w:r>
      <w:proofErr w:type="spellStart"/>
      <w:r w:rsidR="00696DA4" w:rsidRPr="00696DA4">
        <w:rPr>
          <w:rFonts w:asciiTheme="minorBidi" w:hAnsiTheme="minorBidi" w:cs="Arial"/>
        </w:rPr>
        <w:t>Pisante</w:t>
      </w:r>
      <w:proofErr w:type="spellEnd"/>
      <w:r w:rsidR="00696DA4" w:rsidRPr="00696DA4">
        <w:rPr>
          <w:rFonts w:asciiTheme="minorBidi" w:hAnsiTheme="minorBidi" w:cs="Arial"/>
          <w:rtl/>
        </w:rPr>
        <w:t xml:space="preserve"> </w:t>
      </w:r>
      <w:r w:rsidR="00C65C2C" w:rsidRPr="00C65C2C">
        <w:rPr>
          <w:rFonts w:asciiTheme="minorBidi" w:hAnsiTheme="minorBidi" w:cs="Arial"/>
          <w:rtl/>
        </w:rPr>
        <w:t>«يمكن للمبادرات الخاصة المرتبطة بأسواق الكربون الطوعية أن تدمج وتعزز زراعة الكربون على نطاق واسع. وسيساعد إطار شهادة إزالة الكربون على ضمان التحديد الشفاف، من خلال منهجيات موحدة، لزراعة الكربون والحلول الصناعية التي تزيل ثاني أكسيد الكربون من الغلاف الجوي وتخزنه على المدى الطويل.</w:t>
      </w:r>
    </w:p>
    <w:p w14:paraId="450B9ECD" w14:textId="737A304B" w:rsidR="00C65C2C" w:rsidRDefault="00C65C2C" w:rsidP="00C65C2C">
      <w:pPr>
        <w:bidi/>
        <w:rPr>
          <w:rFonts w:asciiTheme="minorBidi" w:hAnsiTheme="minorBidi" w:cs="Arial"/>
          <w:rtl/>
        </w:rPr>
      </w:pPr>
      <w:r w:rsidRPr="00C65C2C">
        <w:rPr>
          <w:rFonts w:asciiTheme="minorBidi" w:hAnsiTheme="minorBidi" w:cs="Arial"/>
          <w:rtl/>
        </w:rPr>
        <w:t xml:space="preserve">يكرر </w:t>
      </w:r>
      <w:r w:rsidRPr="00C65C2C">
        <w:rPr>
          <w:rFonts w:asciiTheme="minorBidi" w:hAnsiTheme="minorBidi" w:cs="Arial"/>
        </w:rPr>
        <w:t>Angelo Frascarelli</w:t>
      </w:r>
      <w:r>
        <w:rPr>
          <w:rFonts w:asciiTheme="minorBidi" w:hAnsiTheme="minorBidi" w:cs="Arial" w:hint="cs"/>
          <w:rtl/>
        </w:rPr>
        <w:t xml:space="preserve"> </w:t>
      </w:r>
      <w:r w:rsidRPr="00C65C2C">
        <w:rPr>
          <w:rFonts w:asciiTheme="minorBidi" w:hAnsiTheme="minorBidi" w:cs="Arial"/>
          <w:rtl/>
        </w:rPr>
        <w:t xml:space="preserve">من جامعة بيروجيا هذا المفهوم: «زراعة الكربون هي مجموعة من الممارسات الزراعية التي تساعد على امتصاص غازات الدفيئة في التربة والغطاء النباتي. تشمل زراعة الكربون ما يلي: امتصاص الكربون الموجود في التربة من الغلاف الجوي؛ تجنب/خفض انبعاثات الغازات الدفيئة مقارنة بالممارسات التقليدية؛ زيادة التنوع البيولوجي والحفاظ على النظم البيئية". بالإضافة إلى تشكيل مصدر جديد للدخل للمزارع، يرى </w:t>
      </w:r>
      <w:r w:rsidRPr="00C65C2C">
        <w:rPr>
          <w:rFonts w:asciiTheme="minorBidi" w:hAnsiTheme="minorBidi" w:cs="Arial"/>
        </w:rPr>
        <w:t>Frascarelli</w:t>
      </w:r>
      <w:r>
        <w:rPr>
          <w:rFonts w:asciiTheme="minorBidi" w:hAnsiTheme="minorBidi" w:cs="Arial" w:hint="cs"/>
          <w:rtl/>
        </w:rPr>
        <w:t xml:space="preserve"> </w:t>
      </w:r>
      <w:r w:rsidRPr="00C65C2C">
        <w:rPr>
          <w:rFonts w:asciiTheme="minorBidi" w:hAnsiTheme="minorBidi" w:cs="Arial"/>
          <w:rtl/>
        </w:rPr>
        <w:t xml:space="preserve">أن اعتماد ممارسات زراعة الكربون يوفر فوائد مشتركة: مقاومة العوامل الحيوية وغير الحيوية، والحفاظ على التربة، والحد من الظواهر </w:t>
      </w:r>
      <w:proofErr w:type="spellStart"/>
      <w:r w:rsidRPr="00C65C2C">
        <w:rPr>
          <w:rFonts w:asciiTheme="minorBidi" w:hAnsiTheme="minorBidi" w:cs="Arial"/>
          <w:rtl/>
        </w:rPr>
        <w:t>التآكلية</w:t>
      </w:r>
      <w:proofErr w:type="spellEnd"/>
      <w:r w:rsidRPr="00C65C2C">
        <w:rPr>
          <w:rFonts w:asciiTheme="minorBidi" w:hAnsiTheme="minorBidi" w:cs="Arial"/>
          <w:rtl/>
        </w:rPr>
        <w:t xml:space="preserve">، وزيادة إنتاجية المحاصيل والتربة؛ </w:t>
      </w:r>
      <w:r w:rsidR="009816F1">
        <w:rPr>
          <w:rFonts w:asciiTheme="minorBidi" w:hAnsiTheme="minorBidi" w:cs="Arial" w:hint="cs"/>
          <w:rtl/>
        </w:rPr>
        <w:t>وزيادة</w:t>
      </w:r>
      <w:r w:rsidRPr="00C65C2C">
        <w:rPr>
          <w:rFonts w:asciiTheme="minorBidi" w:hAnsiTheme="minorBidi" w:cs="Arial"/>
          <w:rtl/>
        </w:rPr>
        <w:t xml:space="preserve"> دوران الكتلة الحيوية فوق وتحت الأرض. «وبالتالي، فإن زراعة الكربون لا تسمح للمزارعين بالمساهمة في التخفيف من تغير المناخ فحسب، بل تزيد أيضًا من قدرة النظم الزراعية على مواجهة تغير المناخ».</w:t>
      </w:r>
    </w:p>
    <w:p w14:paraId="66510309" w14:textId="68FD966A" w:rsidR="009816F1" w:rsidRPr="009816F1" w:rsidRDefault="009816F1" w:rsidP="009816F1">
      <w:pPr>
        <w:bidi/>
        <w:rPr>
          <w:rFonts w:asciiTheme="minorBidi" w:hAnsiTheme="minorBidi"/>
        </w:rPr>
      </w:pPr>
      <w:r w:rsidRPr="009816F1">
        <w:rPr>
          <w:rFonts w:asciiTheme="minorBidi" w:hAnsiTheme="minorBidi" w:cs="Arial"/>
          <w:rtl/>
        </w:rPr>
        <w:t xml:space="preserve">ولكن على الصعيد التنظيمي، </w:t>
      </w:r>
      <w:r w:rsidR="00495142" w:rsidRPr="009816F1">
        <w:rPr>
          <w:rFonts w:asciiTheme="minorBidi" w:hAnsiTheme="minorBidi" w:cs="Arial"/>
          <w:rtl/>
        </w:rPr>
        <w:t xml:space="preserve">يبدو </w:t>
      </w:r>
      <w:r w:rsidRPr="009816F1">
        <w:rPr>
          <w:rFonts w:asciiTheme="minorBidi" w:hAnsiTheme="minorBidi" w:cs="Arial"/>
          <w:rtl/>
        </w:rPr>
        <w:t>لا يزال أن هناك العديد من الخطوات التي يتعين اتخاذها. بعد نشر مقترح اللائحة التنظيمية لإصدار شهادات إزالة الكربون (</w:t>
      </w:r>
      <w:proofErr w:type="spellStart"/>
      <w:r w:rsidRPr="009816F1">
        <w:rPr>
          <w:rFonts w:asciiTheme="minorBidi" w:hAnsiTheme="minorBidi"/>
        </w:rPr>
        <w:t>Crcf</w:t>
      </w:r>
      <w:proofErr w:type="spellEnd"/>
      <w:r w:rsidRPr="009816F1">
        <w:rPr>
          <w:rFonts w:asciiTheme="minorBidi" w:hAnsiTheme="minorBidi" w:cs="Arial"/>
          <w:rtl/>
        </w:rPr>
        <w:t xml:space="preserve">) في 30 نوفمبر 2022، تم تعديل النص من قبل المجلس </w:t>
      </w:r>
      <w:proofErr w:type="gramStart"/>
      <w:r w:rsidRPr="009816F1">
        <w:rPr>
          <w:rFonts w:asciiTheme="minorBidi" w:hAnsiTheme="minorBidi" w:cs="Arial"/>
          <w:rtl/>
        </w:rPr>
        <w:t>والبرلمان</w:t>
      </w:r>
      <w:proofErr w:type="gramEnd"/>
      <w:r w:rsidRPr="009816F1">
        <w:rPr>
          <w:rFonts w:asciiTheme="minorBidi" w:hAnsiTheme="minorBidi" w:cs="Arial"/>
          <w:rtl/>
        </w:rPr>
        <w:t xml:space="preserve"> الأوروبي في نوفمبر 2023. وفي فبراير 2024 وأبريل 2024، تم التوقيع على الاتفاقيات المؤقتة بشأن اللائحة التي توصل إليها </w:t>
      </w:r>
      <w:proofErr w:type="gramStart"/>
      <w:r w:rsidRPr="009816F1">
        <w:rPr>
          <w:rFonts w:asciiTheme="minorBidi" w:hAnsiTheme="minorBidi" w:cs="Arial"/>
          <w:rtl/>
        </w:rPr>
        <w:t>البرلمان</w:t>
      </w:r>
      <w:proofErr w:type="gramEnd"/>
      <w:r w:rsidRPr="009816F1">
        <w:rPr>
          <w:rFonts w:asciiTheme="minorBidi" w:hAnsiTheme="minorBidi" w:cs="Arial"/>
          <w:rtl/>
        </w:rPr>
        <w:t xml:space="preserve"> والمجلس الأوروبي. وبين أبريل وأكتوبر 2024، قام المجلس بوضع التغييرات بموافقة جديدة من </w:t>
      </w:r>
      <w:proofErr w:type="gramStart"/>
      <w:r w:rsidRPr="009816F1">
        <w:rPr>
          <w:rFonts w:asciiTheme="minorBidi" w:hAnsiTheme="minorBidi" w:cs="Arial"/>
          <w:rtl/>
        </w:rPr>
        <w:t>البرلمان</w:t>
      </w:r>
      <w:proofErr w:type="gramEnd"/>
      <w:r w:rsidRPr="009816F1">
        <w:rPr>
          <w:rFonts w:asciiTheme="minorBidi" w:hAnsiTheme="minorBidi" w:cs="Arial"/>
          <w:rtl/>
        </w:rPr>
        <w:t xml:space="preserve">. "الخطوات التالية - يتابع </w:t>
      </w:r>
      <w:r w:rsidRPr="009816F1">
        <w:rPr>
          <w:rFonts w:asciiTheme="minorBidi" w:hAnsiTheme="minorBidi" w:cs="Arial"/>
        </w:rPr>
        <w:t>Frascarelli</w:t>
      </w:r>
      <w:r w:rsidRPr="009816F1">
        <w:rPr>
          <w:rFonts w:asciiTheme="minorBidi" w:hAnsiTheme="minorBidi" w:cs="Arial"/>
          <w:rtl/>
        </w:rPr>
        <w:t xml:space="preserve">- هي نشر لائحة </w:t>
      </w:r>
      <w:r w:rsidRPr="009816F1">
        <w:rPr>
          <w:rFonts w:asciiTheme="minorBidi" w:hAnsiTheme="minorBidi"/>
        </w:rPr>
        <w:t>CRCF</w:t>
      </w:r>
      <w:r w:rsidRPr="009816F1">
        <w:rPr>
          <w:rFonts w:asciiTheme="minorBidi" w:hAnsiTheme="minorBidi" w:cs="Arial"/>
          <w:rtl/>
        </w:rPr>
        <w:t xml:space="preserve"> في المجلة، المتوقع بحلول ديسمبر 2024، ونشر القانون المفوض، بحلول ديسمبر 2025، وقبل كل شيء، إطلاق سوق ائتمان الكربون، بحلول الأول من يناير 2026".</w:t>
      </w:r>
    </w:p>
    <w:p w14:paraId="4CEE5ABE" w14:textId="4E2BBDBC" w:rsidR="009816F1" w:rsidRPr="009816F1" w:rsidRDefault="009816F1" w:rsidP="009816F1">
      <w:pPr>
        <w:bidi/>
        <w:rPr>
          <w:rFonts w:asciiTheme="minorBidi" w:hAnsiTheme="minorBidi"/>
        </w:rPr>
      </w:pPr>
      <w:r w:rsidRPr="009816F1">
        <w:rPr>
          <w:rFonts w:asciiTheme="minorBidi" w:hAnsiTheme="minorBidi" w:cs="Arial"/>
          <w:rtl/>
        </w:rPr>
        <w:t xml:space="preserve">يمكن أن يكون للمعالجة والميكنة تأثير كبير على إدارة الكربون. «إن الجمع بين الزراعة الدقيقة والزراعة المحافظة أمر استراتيجي - يؤكد المهندس الزراعي </w:t>
      </w:r>
      <w:r w:rsidRPr="009816F1">
        <w:rPr>
          <w:rFonts w:asciiTheme="minorBidi" w:hAnsiTheme="minorBidi" w:cs="Arial"/>
        </w:rPr>
        <w:t>Lorenzo Benvenuti</w:t>
      </w:r>
      <w:r>
        <w:rPr>
          <w:rFonts w:asciiTheme="minorBidi" w:hAnsiTheme="minorBidi" w:cs="Arial" w:hint="cs"/>
          <w:rtl/>
        </w:rPr>
        <w:t xml:space="preserve"> من </w:t>
      </w:r>
      <w:r>
        <w:rPr>
          <w:rFonts w:asciiTheme="minorBidi" w:hAnsiTheme="minorBidi" w:cs="Arial"/>
          <w:lang w:val="fr-FR"/>
        </w:rPr>
        <w:t>P</w:t>
      </w:r>
      <w:proofErr w:type="spellStart"/>
      <w:r w:rsidRPr="009816F1">
        <w:rPr>
          <w:rFonts w:asciiTheme="minorBidi" w:hAnsiTheme="minorBidi" w:cs="Arial"/>
        </w:rPr>
        <w:t>adova</w:t>
      </w:r>
      <w:proofErr w:type="spellEnd"/>
      <w:r w:rsidRPr="009816F1">
        <w:rPr>
          <w:rFonts w:asciiTheme="minorBidi" w:hAnsiTheme="minorBidi" w:cs="Arial"/>
          <w:rtl/>
        </w:rPr>
        <w:t xml:space="preserve"> - خاصة إذا كنت تطمح إلى استغلال </w:t>
      </w:r>
      <w:r w:rsidR="00495142">
        <w:rPr>
          <w:rFonts w:asciiTheme="minorBidi" w:hAnsiTheme="minorBidi" w:cs="Arial" w:hint="cs"/>
          <w:rtl/>
        </w:rPr>
        <w:t>حوض</w:t>
      </w:r>
      <w:r w:rsidRPr="009816F1">
        <w:rPr>
          <w:rFonts w:asciiTheme="minorBidi" w:hAnsiTheme="minorBidi" w:cs="Arial"/>
          <w:rtl/>
        </w:rPr>
        <w:t xml:space="preserve"> الكربون </w:t>
      </w:r>
      <w:r w:rsidR="00495142" w:rsidRPr="00495142">
        <w:rPr>
          <w:rFonts w:asciiTheme="minorBidi" w:hAnsiTheme="minorBidi" w:cs="Arial"/>
          <w:rtl/>
        </w:rPr>
        <w:t>بشكل</w:t>
      </w:r>
      <w:r w:rsidR="00495142">
        <w:rPr>
          <w:rFonts w:asciiTheme="minorBidi" w:hAnsiTheme="minorBidi" w:cs="Arial" w:hint="cs"/>
          <w:rtl/>
        </w:rPr>
        <w:t xml:space="preserve"> </w:t>
      </w:r>
      <w:r w:rsidRPr="009816F1">
        <w:rPr>
          <w:rFonts w:asciiTheme="minorBidi" w:hAnsiTheme="minorBidi" w:cs="Arial"/>
          <w:rtl/>
        </w:rPr>
        <w:t xml:space="preserve">سياسي واقتصادي. يعد "حوض الكربون" أيضًا فرصة لعلم </w:t>
      </w:r>
      <w:r w:rsidR="00495142" w:rsidRPr="00495142">
        <w:rPr>
          <w:rFonts w:asciiTheme="minorBidi" w:hAnsiTheme="minorBidi" w:cs="Arial"/>
          <w:rtl/>
        </w:rPr>
        <w:t>التزامن</w:t>
      </w:r>
      <w:r w:rsidR="00495142">
        <w:rPr>
          <w:rFonts w:asciiTheme="minorBidi" w:hAnsiTheme="minorBidi" w:cs="Arial" w:hint="cs"/>
          <w:rtl/>
        </w:rPr>
        <w:t xml:space="preserve"> </w:t>
      </w:r>
      <w:r w:rsidRPr="009816F1">
        <w:rPr>
          <w:rFonts w:asciiTheme="minorBidi" w:hAnsiTheme="minorBidi" w:cs="Arial"/>
          <w:rtl/>
        </w:rPr>
        <w:t>والخصوبة وخفض تكاليف الزراعة. نجد طريقة ل</w:t>
      </w:r>
      <w:r w:rsidR="00495142">
        <w:rPr>
          <w:rFonts w:asciiTheme="minorBidi" w:hAnsiTheme="minorBidi" w:cs="Arial" w:hint="cs"/>
          <w:rtl/>
        </w:rPr>
        <w:t>حوض</w:t>
      </w:r>
      <w:r w:rsidR="00495142" w:rsidRPr="009816F1">
        <w:rPr>
          <w:rFonts w:asciiTheme="minorBidi" w:hAnsiTheme="minorBidi" w:cs="Arial"/>
          <w:rtl/>
        </w:rPr>
        <w:t xml:space="preserve"> الكربون </w:t>
      </w:r>
      <w:r w:rsidRPr="009816F1">
        <w:rPr>
          <w:rFonts w:asciiTheme="minorBidi" w:hAnsiTheme="minorBidi" w:cs="Arial"/>
          <w:rtl/>
        </w:rPr>
        <w:t>في الزراعة المحافظة التي تتطلب الحد الأدنى من المعالجة وتغطية المحاصيل واتباع نهج مرن. الزراعة المحافظة التي تتوافق بشكل جيد مع الزراعة الدقيقة وتجلب معها تجديد التربة، وإعادة تنشيط الخصوبة، وإنتاج خدمات النظام البيئي المختلفة."</w:t>
      </w:r>
    </w:p>
    <w:p w14:paraId="6F1C0921" w14:textId="77777777" w:rsidR="009816F1" w:rsidRPr="00495142" w:rsidRDefault="009816F1" w:rsidP="009816F1">
      <w:pPr>
        <w:bidi/>
        <w:rPr>
          <w:rFonts w:asciiTheme="minorBidi" w:hAnsiTheme="minorBidi"/>
          <w:b/>
          <w:bCs/>
        </w:rPr>
      </w:pPr>
    </w:p>
    <w:p w14:paraId="79F4BFFE" w14:textId="6152D8EA" w:rsidR="009816F1" w:rsidRPr="00415743" w:rsidRDefault="009816F1" w:rsidP="009816F1">
      <w:pPr>
        <w:bidi/>
        <w:rPr>
          <w:rFonts w:asciiTheme="minorBidi" w:hAnsiTheme="minorBidi"/>
          <w:b/>
          <w:bCs/>
          <w:i/>
          <w:iCs/>
        </w:rPr>
      </w:pPr>
      <w:r w:rsidRPr="00415743">
        <w:rPr>
          <w:rFonts w:asciiTheme="minorBidi" w:hAnsiTheme="minorBidi" w:cs="Arial"/>
          <w:b/>
          <w:bCs/>
          <w:i/>
          <w:iCs/>
          <w:rtl/>
        </w:rPr>
        <w:t xml:space="preserve"> بولونيا</w:t>
      </w:r>
      <w:r w:rsidR="00415743" w:rsidRPr="00415743">
        <w:rPr>
          <w:rFonts w:asciiTheme="minorBidi" w:hAnsiTheme="minorBidi" w:cs="Arial" w:hint="cs"/>
          <w:b/>
          <w:bCs/>
          <w:i/>
          <w:iCs/>
          <w:rtl/>
        </w:rPr>
        <w:t xml:space="preserve"> </w:t>
      </w:r>
      <w:r w:rsidR="00415743" w:rsidRPr="00415743">
        <w:rPr>
          <w:rFonts w:asciiTheme="minorBidi" w:hAnsiTheme="minorBidi" w:cs="Arial"/>
          <w:b/>
          <w:bCs/>
          <w:i/>
          <w:iCs/>
          <w:lang w:val="en-GB"/>
        </w:rPr>
        <w:t>Bologna</w:t>
      </w:r>
      <w:r w:rsidRPr="00415743">
        <w:rPr>
          <w:rFonts w:asciiTheme="minorBidi" w:hAnsiTheme="minorBidi" w:cs="Arial"/>
          <w:b/>
          <w:bCs/>
          <w:i/>
          <w:iCs/>
          <w:rtl/>
        </w:rPr>
        <w:t>، 9 نوفمبر 2024</w:t>
      </w:r>
    </w:p>
    <w:sectPr w:rsidR="009816F1" w:rsidRPr="00415743"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50"/>
    <w:rsid w:val="00006250"/>
    <w:rsid w:val="000A4947"/>
    <w:rsid w:val="002837E1"/>
    <w:rsid w:val="003932CA"/>
    <w:rsid w:val="00415743"/>
    <w:rsid w:val="00495142"/>
    <w:rsid w:val="00654DA9"/>
    <w:rsid w:val="00696DA4"/>
    <w:rsid w:val="009816F1"/>
    <w:rsid w:val="00AD45D1"/>
    <w:rsid w:val="00B126EA"/>
    <w:rsid w:val="00C22CEF"/>
    <w:rsid w:val="00C65C2C"/>
    <w:rsid w:val="00F82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B516"/>
  <w15:chartTrackingRefBased/>
  <w15:docId w15:val="{12BAAA5A-282B-4922-9723-76731B87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6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06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0625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0625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0625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0625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625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625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625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625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0625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0625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0625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0625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0625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625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625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6250"/>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6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625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625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625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625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6250"/>
    <w:rPr>
      <w:i/>
      <w:iCs/>
      <w:color w:val="404040" w:themeColor="text1" w:themeTint="BF"/>
    </w:rPr>
  </w:style>
  <w:style w:type="paragraph" w:styleId="Paragrafoelenco">
    <w:name w:val="List Paragraph"/>
    <w:basedOn w:val="Normale"/>
    <w:uiPriority w:val="34"/>
    <w:qFormat/>
    <w:rsid w:val="00006250"/>
    <w:pPr>
      <w:ind w:left="720"/>
      <w:contextualSpacing/>
    </w:pPr>
  </w:style>
  <w:style w:type="character" w:styleId="Enfasiintensa">
    <w:name w:val="Intense Emphasis"/>
    <w:basedOn w:val="Carpredefinitoparagrafo"/>
    <w:uiPriority w:val="21"/>
    <w:qFormat/>
    <w:rsid w:val="00006250"/>
    <w:rPr>
      <w:i/>
      <w:iCs/>
      <w:color w:val="2F5496" w:themeColor="accent1" w:themeShade="BF"/>
    </w:rPr>
  </w:style>
  <w:style w:type="paragraph" w:styleId="Citazioneintensa">
    <w:name w:val="Intense Quote"/>
    <w:basedOn w:val="Normale"/>
    <w:next w:val="Normale"/>
    <w:link w:val="CitazioneintensaCarattere"/>
    <w:uiPriority w:val="30"/>
    <w:qFormat/>
    <w:rsid w:val="00006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06250"/>
    <w:rPr>
      <w:i/>
      <w:iCs/>
      <w:color w:val="2F5496" w:themeColor="accent1" w:themeShade="BF"/>
    </w:rPr>
  </w:style>
  <w:style w:type="character" w:styleId="Riferimentointenso">
    <w:name w:val="Intense Reference"/>
    <w:basedOn w:val="Carpredefinitoparagrafo"/>
    <w:uiPriority w:val="32"/>
    <w:qFormat/>
    <w:rsid w:val="000062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477</Words>
  <Characters>2721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Omar Dabbous</cp:lastModifiedBy>
  <cp:revision>3</cp:revision>
  <dcterms:created xsi:type="dcterms:W3CDTF">2024-11-09T22:33:00Z</dcterms:created>
  <dcterms:modified xsi:type="dcterms:W3CDTF">2024-11-10T09:07:00Z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2024-11-09T23:29:09Z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e118d174-704d-4de0-9eb0-ae8a005118c2</vt:lpwstr>
  </property>
  <property fmtid="{D5CDD505-2E9C-101B-9397-08002B2CF9AE}" pid="8" name="MSIP_Label_defa4170-0d19-0005-0004-bc88714345d2_ContentBits">
    <vt:lpwstr>0</vt:lpwstr>
  </property>
</Properties>
</file>